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/>
    </w:p>
    <w:sectPr w:rsidR="00FC693F" w:rsidRPr="0006063C" w:rsidSect="00034616">
      <w:headerReference w:type="default" r:id="rId9"/>
      <w:pgSz w:w="11906" w:h="16838"/>
      <w:pgMar w:top="2608" w:right="1247" w:bottom="2041" w:left="1247" w:header="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anchor distT="0" distB="0" distL="0" distR="0" simplePos="0" relativeHeight="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Timbrado"/>
          <wp:cNvGraphicFramePr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4-mac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324" w:lineRule="auto"/>
    </w:pPr>
    <w:rPr>
      <w:rFonts w:ascii="Arial" w:hAnsi="Arial" w:eastAsia="Arial" w:cs="Arial"/>
      <w:color w:val="3A476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Mack Medical - Opcao 4</dc:title>
  <dc:subject/>
  <dc:creator>Mack Medical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